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602D" w14:textId="0B455C9B" w:rsidR="00453A06" w:rsidRPr="00E049F1" w:rsidRDefault="00453A06" w:rsidP="00453A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Ágazati alapvizsga „kisokos”</w:t>
      </w:r>
    </w:p>
    <w:p w14:paraId="3EC969BA" w14:textId="77777777" w:rsidR="00453A06" w:rsidRPr="00E049F1" w:rsidRDefault="00453A06" w:rsidP="00453A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(Készítette a Magyar Kereskedelmi és Iparkamara)</w:t>
      </w:r>
    </w:p>
    <w:p w14:paraId="4FE9D412" w14:textId="07F3087E" w:rsidR="00453A06" w:rsidRPr="00E049F1" w:rsidRDefault="00453A06" w:rsidP="00453A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következő tájékoztató az időközi változásokat figyelembe vevő, </w:t>
      </w:r>
      <w:r w:rsidR="00D20081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202</w:t>
      </w:r>
      <w:r w:rsidR="00D2008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6</w:t>
      </w:r>
      <w:r w:rsidR="00D20081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elején hatályos jogszabályi háttérhez igazodik.</w:t>
      </w:r>
    </w:p>
    <w:p w14:paraId="587985AA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</w:p>
    <w:p w14:paraId="49099D67" w14:textId="77777777" w:rsidR="00453A06" w:rsidRPr="00E049F1" w:rsidRDefault="00453A06" w:rsidP="00453A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1. Ágazati alapoktatás</w:t>
      </w:r>
    </w:p>
    <w:p w14:paraId="10E85FAC" w14:textId="5DDCC6AA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Az ágazati alapoktatás </w:t>
      </w:r>
      <w:r w:rsidR="00D64DC1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szakképző intézményben a szakma megszerzésére irányuló szakmai oktatás első szakasza, amely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szakképzés 2020. szeptember 1-jétől indult új rendszerében jelen</w:t>
      </w:r>
      <w:r w:rsidR="00540653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t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meg. Az adott ágazathoz tartozó szakmák tekintetében a technikumban az első két tanévben, a szakképző iskolában az első tanévben széles körű ágazati alapismeretekre tesznek szert a tanulók, amelyet az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ágazati alapvizsga zár le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 Ez</w:t>
      </w:r>
      <w:r w:rsidR="00540653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en vizsga sikeres teljesítése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teszi </w:t>
      </w:r>
      <w:r w:rsidR="00540653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jogosulttá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tanulót a </w:t>
      </w:r>
      <w:r w:rsidR="00540653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szakmai oktatás következő szakaszába, a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szakirányú </w:t>
      </w:r>
      <w:r w:rsidR="00540653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oktatásba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való belépésre. A közös alapozás átjárhatóságot biztosít szükség esetén a technikum és a szakképző iskola</w:t>
      </w:r>
      <w:r w:rsidR="00540653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, illetve az adott ágazaton belüli szakmák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között. A konkrét szakmát technikumban a 10. évfolyam végén, szakképző iskolában a 9. évfolyam végén, az adott ágazat sajátosságainak megismerését követően választja ki a tanuló. Az új rendszer ezzel is támogatja a tanulókat a számukra megfelelő pálya kiválasztásában.</w:t>
      </w:r>
    </w:p>
    <w:p w14:paraId="3DAB0880" w14:textId="77777777" w:rsidR="00453A06" w:rsidRPr="00E049F1" w:rsidRDefault="00453A06" w:rsidP="00453A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</w:p>
    <w:p w14:paraId="6571E71F" w14:textId="77777777" w:rsidR="00453A06" w:rsidRPr="00E049F1" w:rsidRDefault="00453A06" w:rsidP="00453A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2. Ágazati alapvizsga</w:t>
      </w:r>
    </w:p>
    <w:p w14:paraId="5DBC7B2F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a tanulónak, illetve a képzésben részt vevő személynek az adott ágazatban történő munkavégzéshez szükséges szakmai alaptudását és kompetenciáit méri. A tanuló, illetve a képzésben részt vevő személy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az ágazati alapoktatás elvégzését követően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tehet ágazati alapvizsgát.</w:t>
      </w:r>
    </w:p>
    <w:p w14:paraId="418B1BD2" w14:textId="79BE512E" w:rsidR="00C00A7D" w:rsidRPr="00E049F1" w:rsidRDefault="00C00A7D" w:rsidP="00C00A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az adott ágazatba tartozó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valamennyi szakma 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tekintetében azonos szakmai tartalmát a képzési és kimeneti követelmények határozzák meg.</w:t>
      </w:r>
    </w:p>
    <w:p w14:paraId="04B9CADA" w14:textId="77777777" w:rsidR="00C00A7D" w:rsidRPr="00E049F1" w:rsidRDefault="00C00A7D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</w:p>
    <w:p w14:paraId="22CE9BA2" w14:textId="4A678167" w:rsidR="00453A06" w:rsidRPr="00E049F1" w:rsidRDefault="00681433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új szakképzési rendszer szerinti ágazati alapvizsgát szakképző iskolában először a 2020/2021. tanévben, 2021 tavaszán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(a 9. évfolyamon)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, míg technikumban a 2021/202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2. tanévben, 2022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tavaszán 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(a 10. évfolyamon)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tettek a tanulók. Így 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elmondható, hogy </w:t>
      </w:r>
      <w:r w:rsidR="001F156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202</w:t>
      </w:r>
      <w:r w:rsidR="001F156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6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-ben 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már </w:t>
      </w:r>
      <w:r w:rsidR="001F156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5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</w:t>
      </w:r>
      <w:r w:rsidR="001F156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6</w:t>
      </w:r>
      <w:r w:rsidR="001F156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éves gyakorlattal rendelkeznek a szakképző intézmények az ágazati alapvizsga szervezése tekintetében.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(Az érettségi végzettséggel rendelkezők számára a kizárólag szakmai vizsgára felkészítő kétéves képzésben a</w:t>
      </w:r>
      <w:r w:rsidR="00CC65E7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z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="00CC65E7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ágazati 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alapoktatásra az első félévben kerül sor, így 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ebben az esetben 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</w:t>
      </w:r>
      <w:r w:rsidR="00CC65E7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z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="00CC65E7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ágazati 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alapvizsgát mindkét iskolatípusban a 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tanulmányaik 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első félév</w:t>
      </w:r>
      <w:r w:rsidR="00C00A7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végén teszik le a tanulók.)</w:t>
      </w:r>
    </w:p>
    <w:p w14:paraId="79250C56" w14:textId="4CDBFAB7" w:rsidR="00453A06" w:rsidRPr="00E049F1" w:rsidRDefault="007E6A87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Egyes esetekben – jellemzően a felnőttek szakmai oktatása esetén – lehetséges az ágazati alapvizsga alóli felmentés akkor, ha az érintett (képzésben résztvevő személy) korábbi tanulmányai, előzetesen megszerzett tudása, illetve gyakorlata beszámításával vesz részt a szakmai oktatásban és a beszámított előzetes tudása magában foglalja az ágazati alapvizsga követelményeit.</w:t>
      </w:r>
    </w:p>
    <w:p w14:paraId="6D7A8428" w14:textId="77777777" w:rsidR="00E049F1" w:rsidRPr="00E049F1" w:rsidRDefault="00E049F1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</w:pPr>
    </w:p>
    <w:p w14:paraId="1D57340F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lastRenderedPageBreak/>
        <w:t>Vizsgabizottság, vizsgaszervezés, javítóvizsga</w:t>
      </w:r>
    </w:p>
    <w:p w14:paraId="3574DDD2" w14:textId="100C8CE5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szakképző intézmény által szervezett ágazati alapvizsgát a szakképző intézmény oktatóiból és az elnökből álló</w:t>
      </w:r>
      <w:r w:rsidR="005625E5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legalább háromtagú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ágazati alapvizsga vizsgabizottság előtt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kell letenni. A vizsgabizottság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elnökét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a szakképző intézmény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feladatellátási helye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 szerint illetékes területi gazdasági kamara </w:t>
      </w:r>
      <w:r w:rsidRPr="00E049F1">
        <w:rPr>
          <w:rFonts w:ascii="Arial" w:hAnsi="Arial"/>
          <w:i/>
          <w:color w:val="000000" w:themeColor="text1"/>
          <w:kern w:val="0"/>
          <w:sz w:val="24"/>
          <w14:ligatures w14:val="none"/>
        </w:rPr>
        <w:t>delegálja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</w:t>
      </w:r>
    </w:p>
    <w:p w14:paraId="5F6E87DF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szakképző intézmény által szervezett ágazati alapvizsga – ha azt a szakképző intézményben szervezik – vizsgabizottságának elnökét és tagjait az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igazgató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  <w:r w:rsidRPr="00E049F1">
        <w:rPr>
          <w:rFonts w:ascii="Arial" w:hAnsi="Arial"/>
          <w:i/>
          <w:color w:val="000000" w:themeColor="text1"/>
          <w:kern w:val="0"/>
          <w:sz w:val="24"/>
          <w14:ligatures w14:val="none"/>
        </w:rPr>
        <w:t>bízza meg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</w:t>
      </w:r>
    </w:p>
    <w:p w14:paraId="2E5F53E6" w14:textId="67D2CBC6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tanulónak lehetősége van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független bizottság előtt is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vizsgát tenni, amelyet a jogszabályban meghatározottak szerint előzetesen kérelmeznie kell. (</w:t>
      </w:r>
      <w:r w:rsidR="00D60240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Lásd. </w:t>
      </w:r>
      <w:proofErr w:type="spellStart"/>
      <w:r w:rsidR="00D60240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Szkr</w:t>
      </w:r>
      <w:proofErr w:type="spellEnd"/>
      <w:r w:rsidR="00D60240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.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190. §)</w:t>
      </w:r>
      <w:r w:rsidR="005625E5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A</w:t>
      </w:r>
      <w:r w:rsidR="00D60240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z ágazati alapvizsga</w:t>
      </w:r>
      <w:r w:rsidR="005625E5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="005625E5" w:rsidRPr="00E049F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független </w:t>
      </w:r>
      <w:proofErr w:type="gramStart"/>
      <w:r w:rsidR="005625E5" w:rsidRPr="00E049F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hu-HU"/>
          <w14:ligatures w14:val="none"/>
        </w:rPr>
        <w:t>vizsgabizottság</w:t>
      </w:r>
      <w:r w:rsidR="00D60240" w:rsidRPr="00E049F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hu-HU"/>
          <w14:ligatures w14:val="none"/>
        </w:rPr>
        <w:t>ának</w:t>
      </w:r>
      <w:r w:rsidR="005625E5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elnökét</w:t>
      </w:r>
      <w:proofErr w:type="gramEnd"/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="005625E5"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is 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minden esetben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a szakképző intézmény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feladatellátási helye szerint területileg illetékes gazdasági kamara delegálja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, </w:t>
      </w:r>
      <w:r w:rsidR="00D60240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viszont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független vizsgabizottság elnökét és tagjait a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szakképzési államigazgatási szerv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 bízza meg, e tekintetben szakképzési államigazgatási szervként a fővárosi és megyei kormányhivatalt jelöli ki. [Lásd. </w:t>
      </w:r>
      <w:proofErr w:type="spellStart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Szkr</w:t>
      </w:r>
      <w:proofErr w:type="spellEnd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 305. § (2) bekezdés b) pont]</w:t>
      </w:r>
    </w:p>
    <w:p w14:paraId="1A2268E3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</w:p>
    <w:p w14:paraId="351E8722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elnökökre vonatkozó pályázati feltételeket a Magyar Kereskedelmi és Iparkamara határozza meg, és a területileg illetékes kereskedelmi és iparkamara teszi nyilvánossá.</w:t>
      </w:r>
    </w:p>
    <w:p w14:paraId="6F3305CE" w14:textId="64FFB11D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beérkezett pályázatokat a hatályos pályázati feltételekben meghatározottaknak megfelelően a területi gazdasági kamara elbírálja, és </w:t>
      </w:r>
      <w:r w:rsidR="00BC492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az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ágazati alapvizsga elnöki </w:t>
      </w:r>
      <w:r w:rsidR="00552789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névjegyzékre történő felvételi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javaslatként továbbítja a Magyar Kereskedelmi és Iparkamara részére.</w:t>
      </w:r>
    </w:p>
    <w:p w14:paraId="1372A39A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megfelelő ágazati alapvizsga elnöki pályázatokat a Magyar Kereskedelmi és Iparkamara hagyja jóvá.</w:t>
      </w:r>
    </w:p>
    <w:p w14:paraId="2FFB16D9" w14:textId="20DEC469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elnök</w:t>
      </w:r>
      <w:r w:rsidR="00552789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i névjegyzékre történő felvétel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3 évre szól azzal, hogy az újonnan </w:t>
      </w:r>
      <w:r w:rsidR="00552789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felvett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ágazati alapvizsga elnöknek a kinevezést követő 6 hónapon belül – feladatának megfelelő szakmai színvonalon történő ellátása érdekében –vizsgát kell tenni.</w:t>
      </w:r>
    </w:p>
    <w:p w14:paraId="4EA85CBF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Az </w:t>
      </w:r>
      <w:proofErr w:type="gramStart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on-line</w:t>
      </w:r>
      <w:proofErr w:type="gramEnd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nyilvántartási rendszerben szereplők részére az Magyar Kereskedelmi és Iparkamara igazolást állít ki arra vonatkozóan, hogy tulajdonosa jogosult az ágazati alapvizsga elnöki feladatok ellátására.</w:t>
      </w:r>
    </w:p>
    <w:p w14:paraId="2BFAE407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tanuló, illetve a képzésben részt vevő személy ágazati alapvizsgára az ágazati alapoktatásban való részvétele alapján bocsátható.</w:t>
      </w:r>
    </w:p>
    <w:p w14:paraId="530AB5CF" w14:textId="176D0F09" w:rsidR="00453A06" w:rsidRPr="00E049F1" w:rsidRDefault="00453A06" w:rsidP="003F31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lebonyolítására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a tanulmányok alatti vizsga szabályait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 (Lásd </w:t>
      </w:r>
      <w:proofErr w:type="spellStart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Szkr</w:t>
      </w:r>
      <w:proofErr w:type="spellEnd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. 255. §) kell alkalmazni. (A vizsga reggel nyolc óra előtt nem kezdhető el, és legfeljebb tizenhét óráig tarthat.) A vizsga </w:t>
      </w:r>
      <w:r w:rsidR="001D4E95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jogszabályi keretekkel összhangban lévő további, helyi </w:t>
      </w:r>
      <w:r w:rsidR="00C241E2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szabályait</w:t>
      </w:r>
      <w:r w:rsidR="001D4E95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, a vizsga követelményeit és az értékelés szabályait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a szakképző intézmény szakmai programjában kell meghatározni.</w:t>
      </w:r>
      <w:r w:rsidR="003F310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Az ágazati alapvizsga konkrét vizsgafeladatait és azok javítási-értékelési útmutatóját a képzési és kimeneti követelményekhez igazítottan a szakképző intézmény határozza meg.</w:t>
      </w:r>
    </w:p>
    <w:p w14:paraId="585A7960" w14:textId="6E68A4F5" w:rsidR="003F310E" w:rsidRPr="00E049F1" w:rsidRDefault="00453A06" w:rsidP="003F31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tanuló magasabb évfolyamra nem léphet, </w:t>
      </w:r>
      <w:r w:rsidR="003F310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illetve a képzésben résztvevő személy nem léphet át a szakirányú oktatási szakaszba,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ha az ágazati alapvizsgá</w:t>
      </w:r>
      <w:r w:rsidR="003F310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jának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lastRenderedPageBreak/>
        <w:t xml:space="preserve">eredménye elégtelen. </w:t>
      </w:r>
      <w:r w:rsidR="003F310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Az ágazati alapvizsgához kapcsolódó </w:t>
      </w:r>
      <w:r w:rsidR="003F310E" w:rsidRPr="00E049F1">
        <w:rPr>
          <w:rFonts w:ascii="Arial" w:hAnsi="Arial"/>
          <w:color w:val="000000" w:themeColor="text1"/>
          <w:kern w:val="0"/>
          <w:sz w:val="24"/>
          <w14:ligatures w14:val="none"/>
        </w:rPr>
        <w:t xml:space="preserve">javító- és </w:t>
      </w:r>
      <w:r w:rsidR="003F310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pótlóvizsga letételére </w:t>
      </w:r>
      <w:r w:rsidR="003F310E" w:rsidRPr="00E049F1">
        <w:rPr>
          <w:rFonts w:ascii="Arial" w:hAnsi="Arial"/>
          <w:color w:val="000000" w:themeColor="text1"/>
          <w:kern w:val="0"/>
          <w:sz w:val="24"/>
          <w14:ligatures w14:val="none"/>
        </w:rPr>
        <w:t>az ágazati alapvizsgát követő hatvan napon belül</w:t>
      </w:r>
      <w:r w:rsidR="003F310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kell lehetőséget biztosítani</w:t>
      </w:r>
      <w:r w:rsidR="00603EF2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a szakmai oktatást folytató szakképző intézménynek</w:t>
      </w:r>
      <w:r w:rsidR="003F310E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</w:t>
      </w:r>
    </w:p>
    <w:p w14:paraId="5CEDBB29" w14:textId="11346377" w:rsidR="00453A06" w:rsidRPr="00E049F1" w:rsidRDefault="00453A06" w:rsidP="003F31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javítóvizsgán is elégtelen ágazati alapvizsgát tett személy a tanév végén nem minősíthető és a tanulmányait az ágazati alapoktatás megismétlésével folytatja.</w:t>
      </w:r>
    </w:p>
    <w:p w14:paraId="2732027E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t>Az alapvizsga eredménye</w:t>
      </w:r>
    </w:p>
    <w:p w14:paraId="44965325" w14:textId="65AACE69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tanuló sikeres vizsga esetén jogosult </w:t>
      </w:r>
      <w:r w:rsidR="00603EF2" w:rsidRPr="00E049F1">
        <w:rPr>
          <w:rFonts w:ascii="Arial" w:hAnsi="Arial"/>
          <w:color w:val="000000" w:themeColor="text1"/>
          <w:kern w:val="0"/>
          <w:sz w:val="24"/>
          <w14:ligatures w14:val="none"/>
        </w:rPr>
        <w:t xml:space="preserve">a </w:t>
      </w:r>
      <w:r w:rsidR="00603EF2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szakirányú oktatási szakasz megkezdésére és egyben 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a duális képzésbe való belépésre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 Az ágazati alapvizsga eredménye 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</w:t>
      </w:r>
      <w:r w:rsidR="00603EF2"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képzési és kimeneti követelményekben rögzítettek szerint beszámít a </w:t>
      </w: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szakmai vizsga eredményébe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. </w:t>
      </w:r>
      <w:r w:rsidR="00603EF2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sikeres letétele egyben azt is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jelenti, hogy ha valaki egy szakma megszerzését követően az adott </w:t>
      </w:r>
      <w:r w:rsidR="00603EF2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(ugyanazon)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ágazathoz tartozó további szakmát kíván szerezni, az ágazati </w:t>
      </w:r>
      <w:r w:rsidR="00603EF2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alapoktatást és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alapvizsgát nem kell megismételnie.</w:t>
      </w:r>
    </w:p>
    <w:p w14:paraId="56009532" w14:textId="52828D1B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teljesítését a tanévet lezáró bizonyítványba kell bejegyezni. Az ágazati alapvizsga bizonyítványba bejegyzett teljesítése a képzési és kimeneti követelményekben meghatározott munkakör betöltésére való alkalmasságot igazol</w:t>
      </w:r>
      <w:r w:rsidR="003A61F7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hat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</w:t>
      </w:r>
    </w:p>
    <w:p w14:paraId="6F688870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t>Díjazás</w:t>
      </w:r>
    </w:p>
    <w:p w14:paraId="18471266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vizsgabizottság elnöke a szakképzésről szóló törvény végrehajtásáról szóló 12/2020. (II. 7.) Korm. rendeletben meghatározott díjazásra jogosult.</w:t>
      </w:r>
    </w:p>
    <w:p w14:paraId="79998122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vizsgázók létszámától függő díjazás mértékét az </w:t>
      </w:r>
      <w:proofErr w:type="spellStart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Szkr</w:t>
      </w:r>
      <w:proofErr w:type="spellEnd"/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 257. §-a határozza meg.</w:t>
      </w:r>
    </w:p>
    <w:p w14:paraId="10FBEA65" w14:textId="3FACCE62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delegált elnököt megillető díjazás összege a szakirányú oktatás központi költségvetésről szóló törvényben meghatározott önköltsége* (</w:t>
      </w:r>
      <w:r w:rsidR="00F00C14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202</w:t>
      </w:r>
      <w:r w:rsidR="00F00C1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6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-b</w:t>
      </w:r>
      <w:r w:rsidR="00F00C1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n 1.200.000 forint) egyhavi összegének (</w:t>
      </w:r>
      <w:r w:rsidR="00F00C14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202</w:t>
      </w:r>
      <w:r w:rsidR="00F00C1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6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</w:t>
      </w:r>
      <w:r w:rsidR="00F00C14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b</w:t>
      </w:r>
      <w:r w:rsidR="00F00C1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</w:t>
      </w:r>
      <w:r w:rsidR="00F00C14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n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100.000 forint)</w:t>
      </w:r>
    </w:p>
    <w:p w14:paraId="2B5BCDAE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a) 67 százaléka (azaz 67.000 forint*), ha a vizsgázók száma 25 fő alatt,</w:t>
      </w:r>
    </w:p>
    <w:p w14:paraId="7BEE4D65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b) 100 százaléka (azaz 100.000 forint*), ha a vizsgázók száma 25 és 35 fő között,</w:t>
      </w:r>
    </w:p>
    <w:p w14:paraId="001C1CF2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c) 133 százaléka (azaz 133.000 forint*), ha a vizsgázók száma 35 fő fölött van.</w:t>
      </w:r>
    </w:p>
    <w:p w14:paraId="7D362F03" w14:textId="5D746560" w:rsidR="00453A06" w:rsidRPr="00AB001C" w:rsidRDefault="00453A06" w:rsidP="00453A06">
      <w:pPr>
        <w:shd w:val="clear" w:color="auto" w:fill="FFFFFF"/>
        <w:spacing w:after="150" w:line="240" w:lineRule="auto"/>
        <w:jc w:val="both"/>
        <w:rPr>
          <w:rFonts w:ascii="Fira Sans" w:hAnsi="Fira Sans" w:cs="Times New Roman"/>
          <w:color w:val="005B92"/>
          <w:spacing w:val="-5"/>
          <w:kern w:val="36"/>
          <w:sz w:val="48"/>
          <w:szCs w:val="48"/>
          <w:lang w:eastAsia="hu-HU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[*a Magyarország </w:t>
      </w:r>
      <w:r w:rsidR="00CC1CC9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202</w:t>
      </w:r>
      <w:r w:rsidR="00CC1CC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6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. évi központi költségvetéséről szóló </w:t>
      </w:r>
      <w:r w:rsidR="00123504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202</w:t>
      </w:r>
      <w:r w:rsidR="0012350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5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. évi </w:t>
      </w:r>
      <w:r w:rsidR="0012350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LXIX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. törvény </w:t>
      </w:r>
      <w:r w:rsidR="006C51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69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. § (5) bekezdés</w:t>
      </w:r>
      <w:r w:rsidR="003A61F7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a) pont</w:t>
      </w:r>
      <w:r w:rsidR="00871608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alapján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]</w:t>
      </w:r>
    </w:p>
    <w:p w14:paraId="22B68A31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vizsgabizottság elnöke a fenti díjazáson felül további költségtérítésre nem jogosult.</w:t>
      </w:r>
    </w:p>
    <w:p w14:paraId="4FE03644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t>A vizsgabizottság elnökének feladatai</w:t>
      </w:r>
    </w:p>
    <w:p w14:paraId="678EBEF2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ágazati alapvizsga vizsgabizottságának elnöke felel a vizsga szakszerű és jogszerű megtartásáért. Ennek keretében</w:t>
      </w:r>
    </w:p>
    <w:p w14:paraId="6A40277F" w14:textId="77777777" w:rsidR="00453A06" w:rsidRPr="00E049F1" w:rsidRDefault="00453A06" w:rsidP="00453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meggyőződik arról, a vizsgázó jogosult-e a vizsga megkezdésére és teljesítette-e a vizsga letételéhez előírt feltételeket, továbbá szükség esetén kezdeményezi a szabálytalanul vizsgázni szándékozók kizárását,</w:t>
      </w:r>
    </w:p>
    <w:p w14:paraId="3A382E52" w14:textId="77777777" w:rsidR="00453A06" w:rsidRPr="00E049F1" w:rsidRDefault="00453A06" w:rsidP="00453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vezeti a szóbeli vizsgát és a vizsgabizottság értekezleteit,</w:t>
      </w:r>
    </w:p>
    <w:p w14:paraId="1855CAF2" w14:textId="77777777" w:rsidR="00453A06" w:rsidRPr="00E049F1" w:rsidRDefault="00453A06" w:rsidP="00453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átvizsgálja a vizsgával kapcsolatos iratokat, a szabályzatban foglaltak szerint aláírja a vizsga iratait,</w:t>
      </w:r>
    </w:p>
    <w:p w14:paraId="2E576082" w14:textId="77777777" w:rsidR="00453A06" w:rsidRPr="00E049F1" w:rsidRDefault="00453A06" w:rsidP="00453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lastRenderedPageBreak/>
        <w:t>a vizsgabizottsági elnök feladatainak ellátásába a vizsgabizottság tagjait bevonhatja. A kérdező oktató csak az lehet, aki a vizsga tárgya szerinti tantárgyat taníthatja,</w:t>
      </w:r>
    </w:p>
    <w:p w14:paraId="691E36B6" w14:textId="77777777" w:rsidR="00453A06" w:rsidRPr="00E049F1" w:rsidRDefault="00453A06" w:rsidP="00453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vizsga kezdetekor a vizsgáztató jelenlétében megállapítja a jelenlévők személyazonosságát, ismerteti az írásbeli vizsga szabályait, majd kihirdeti az írásbeli tételeket. A vizsgázóknak a feladat elkészítéséhez segítség nem adható,</w:t>
      </w:r>
    </w:p>
    <w:p w14:paraId="1275DDD2" w14:textId="77777777" w:rsidR="00453A06" w:rsidRPr="00E049F1" w:rsidRDefault="00453A06" w:rsidP="00453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rávezeti a javasolt értékelést a vizsgajegyzőkönyvre, amikor a vizsgázó befejezte a tétel kifejtését,</w:t>
      </w:r>
    </w:p>
    <w:p w14:paraId="4ECB7164" w14:textId="33B7063E" w:rsidR="00453A06" w:rsidRPr="00E049F1" w:rsidRDefault="00453A06" w:rsidP="00453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</w:t>
      </w:r>
      <w:r w:rsidR="003A61F7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vizsgázó szabálytalan tevékenységéhez kapcsolódóan történt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figyelmeztetést a vizsga jegyzőkönyvében fel kell tüntetni.</w:t>
      </w:r>
    </w:p>
    <w:p w14:paraId="6DC9FAB1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gyakorlati vizsgatevékenységet akkor lehet megkezdeni, ha a vizsgabizottság elnöke meggyőződött a vizsgatevékenység elvégzéséhez szükséges személyi és tárgyi feltételek meglétéről.</w:t>
      </w:r>
    </w:p>
    <w:p w14:paraId="78A351AE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gyakorlati vizsgatevékenység megkezdése előtt a vizsgázókat tájékoztatni kell a gyakorlati vizsgatevékenység rendjéről és a vizsgával kapcsolatos egyéb tudnivalókról, továbbá a gyakorlati vizsgatevékenység helyére és a munkavégzésre vonatkozó munkavédelmi, tűzvédelmi, egészségvédelmi előírásokról.</w:t>
      </w:r>
    </w:p>
    <w:p w14:paraId="2C818A4E" w14:textId="77777777" w:rsidR="00453A06" w:rsidRPr="00E049F1" w:rsidRDefault="00453A06" w:rsidP="00453A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</w:p>
    <w:p w14:paraId="00A3A330" w14:textId="77777777" w:rsidR="00453A06" w:rsidRPr="00E049F1" w:rsidRDefault="00453A06" w:rsidP="00453A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3. Különbségek a szintvizsga és az ágazati alapvizsga között</w:t>
      </w:r>
    </w:p>
    <w:p w14:paraId="20B81B8A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 A szintvizsgát a területileg illetékes gazdasági kamara szervezte, az ágazati alapvizsgát a szakképző intézmény.</w:t>
      </w:r>
    </w:p>
    <w:p w14:paraId="52055254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 A szintvizsgát szakképesítésenként kellett teljesíteni, az ágazati alapvizsgát ágazatonként.</w:t>
      </w:r>
    </w:p>
    <w:p w14:paraId="023D988C" w14:textId="031C2580" w:rsidR="00A559DE" w:rsidRPr="00E049F1" w:rsidRDefault="00A559DE" w:rsidP="00A559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 A szintvizsga célja az irányítás melletti munkavégzéshez szükséges kompetenciák meglétének mérése volt.</w:t>
      </w:r>
    </w:p>
    <w:p w14:paraId="691E3BD7" w14:textId="7E01C31A" w:rsidR="00A559DE" w:rsidRPr="00E049F1" w:rsidRDefault="00A559DE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 Az ágazati alapvizsga a tanulónak, illetve a képzésben részt vevő személynek az adott ágazatban történő munkavégzéshez szükséges szakmai alaptudását és kompetenciáit méri.</w:t>
      </w:r>
    </w:p>
    <w:p w14:paraId="313433A6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 A szintvizsga eredménye nem számított bele az év végi osztályzatba, az ágazati alapvizsga eredménye viszont nemcsak az év végi osztályzatba, de a szakmai vizsgáéba is beleszámít.</w:t>
      </w:r>
    </w:p>
    <w:p w14:paraId="3AAE4245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- A szintvizsgát csak a szakközépiskolai (és szakiskolai) képzésben tanulóknak kellett tenni, az ágazati alapvizsgát viszont a szakképző iskolai és a technikus tanulóknak is.</w:t>
      </w:r>
    </w:p>
    <w:p w14:paraId="4A31182C" w14:textId="77777777" w:rsidR="00453A06" w:rsidRPr="00E049F1" w:rsidRDefault="00453A06" w:rsidP="00453A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</w:p>
    <w:p w14:paraId="58793849" w14:textId="77777777" w:rsidR="00453A06" w:rsidRPr="00E049F1" w:rsidRDefault="00453A06" w:rsidP="00453A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4. Kapcsolódó fogalmak</w:t>
      </w:r>
    </w:p>
    <w:p w14:paraId="3D711C5D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t>Szakmajegyzék</w:t>
      </w:r>
    </w:p>
    <w:p w14:paraId="3759FF71" w14:textId="0F77440E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szakmajegyzék a korábbi Országos Képzési Jegyzék, illetve az abban közzétett szakképesítések és részszakképesítések helyébe lépő olyan szakmákat, szakmairányokat, valamint azok leíró adatait tartalmazza, amelyek kizárólag a szakképző intézményben oktathatók. A szakmajegyzékben nem szereplő, de az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lastRenderedPageBreak/>
        <w:t>adott gazdasági ágazat által szükségesnek ítélt képzések (pl. a korábbi Országos Képzési Jegyzékből kikerülő egyes szakképesítések, illetve részszakképesítések) a továbbiakban szakmai képzés keretében szervezhetők meg.</w:t>
      </w:r>
    </w:p>
    <w:p w14:paraId="12A95BDC" w14:textId="24A6B17C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t>Szakma</w:t>
      </w:r>
      <w:r w:rsidR="00B033F8"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(többes jelentés)</w:t>
      </w:r>
    </w:p>
    <w:p w14:paraId="0635B72E" w14:textId="29F3B166" w:rsidR="00453A06" w:rsidRPr="00E049F1" w:rsidRDefault="00B033F8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:lang w:eastAsia="hu-HU"/>
          <w14:ligatures w14:val="none"/>
        </w:rPr>
        <w:t>Általában: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szakmák egy-egy ágazat legfontosabb képzettséget (és gyakorlatot) igénylő foglalkozásai.</w:t>
      </w:r>
    </w:p>
    <w:p w14:paraId="04E9573F" w14:textId="05580E4E" w:rsidR="00B033F8" w:rsidRPr="00E049F1" w:rsidRDefault="00B033F8" w:rsidP="00B033F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:lang w:eastAsia="hu-HU"/>
          <w14:ligatures w14:val="none"/>
        </w:rPr>
        <w:t>Szakképzésben: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 a Szakmajegyzékben található, kizárólag szakképző intézményben szakmai oktatás keretében elsajátítható képesítés</w:t>
      </w:r>
    </w:p>
    <w:p w14:paraId="55C11249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hu-HU"/>
          <w14:ligatures w14:val="none"/>
        </w:rPr>
        <w:t>Képzési és kimeneti követelmény</w:t>
      </w:r>
    </w:p>
    <w:p w14:paraId="6AE76BA9" w14:textId="307CAB6A" w:rsidR="00453A06" w:rsidRPr="00E049F1" w:rsidRDefault="00507893" w:rsidP="0050789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képzési és kimeneti követelmények a szakmákhoz (mint képesítéshez) előírt, az országosan egységes ellenőrzési, mérési és értékelési rendszer kialakítását és működését biztosító, a szakképzésben kötelezően alkalmazandó képzési dokumentumok. </w:t>
      </w:r>
      <w:r w:rsidR="00453A06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képzési és kimeneti követelmények azokat a részletes követelményeket állapítják meg tanulási eredmény alapú (TEA) megközelítésben, amelyek alapján a szakmai képzés és a szakmai vizsgáztatás folyhat. A képzési és kimeneti követelményekben – részszakmaként – meghatározható a szakmának olyan önállóan elkülöníthető része, amely legalább egy munkakör betöltéséhez szükséges kompetenciák megszerzését teszi lehetővé.</w:t>
      </w:r>
    </w:p>
    <w:p w14:paraId="4B1A16DF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 </w:t>
      </w:r>
    </w:p>
    <w:p w14:paraId="42EC592E" w14:textId="77777777" w:rsidR="00453A06" w:rsidRPr="00E049F1" w:rsidRDefault="00453A06" w:rsidP="00453A0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Változásokat a következő jogszabály módosítások tartalmazzák:</w:t>
      </w:r>
    </w:p>
    <w:p w14:paraId="00261055" w14:textId="77777777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szakképzésről szóló 2019. évi LXXX. törvény és a szakképzésről szóló törvény végrehajtásáról szóló 12/2020. (II. 7.) Korm. rendelet alapján, az alábbi kiegészítésekkel</w:t>
      </w:r>
    </w:p>
    <w:p w14:paraId="4F4D3F74" w14:textId="77777777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az egyes képzéseket és a foglalkoztatást érintő törvények módosításáról szóló 2021. évi CXLVII. törvény</w:t>
      </w:r>
    </w:p>
    <w:p w14:paraId="61883648" w14:textId="77777777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egyes törvényeknek a szakképzéssel és a felnőttképzéssel összefüggő módosításáról szóló 2021. évi LXXXIII. törvény</w:t>
      </w:r>
    </w:p>
    <w:p w14:paraId="29F16694" w14:textId="44AD2821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szakképzésben lezajlott átalakítás utólagos hatásvizsgálatából adódó törvénymódosításokról </w:t>
      </w:r>
      <w:r w:rsidR="0077392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szóló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2023. évi XXXIII. törvény [MK 2023/81.]</w:t>
      </w:r>
    </w:p>
    <w:p w14:paraId="47B2BEC3" w14:textId="76C8DC81" w:rsidR="00650700" w:rsidRPr="00E049F1" w:rsidRDefault="00650700" w:rsidP="00650700">
      <w:pPr>
        <w:pStyle w:val="Listaszerbekezds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oktatási, családügyi, kulturális tárgyú és kapcsolódó törvények módosításáról szóló 2024. évi XIII. törvény [MK 2024/52.]</w:t>
      </w:r>
    </w:p>
    <w:p w14:paraId="41975B06" w14:textId="77777777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szakképzéssel és a felnőttképzéssel összefüggő egyes kormányrendeletek módosításáról szóló 95/2021. (II. 27.) Korm. rendelet</w:t>
      </w:r>
    </w:p>
    <w:p w14:paraId="668BBA1D" w14:textId="77777777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egyes kormányrendeleteknek a szakképzéssel összefüggő módosításáról szóló 380/2021. (VI. 30.) Korm. rendelet</w:t>
      </w:r>
    </w:p>
    <w:p w14:paraId="196FC893" w14:textId="77777777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egyes kormányrendeleteknek a szakképzéssel összefüggő módosításáról szóló 800/2021. (XII. 28.) Korm. rendelet</w:t>
      </w:r>
    </w:p>
    <w:p w14:paraId="562E1BA3" w14:textId="32037A66" w:rsidR="00453A06" w:rsidRPr="00E049F1" w:rsidRDefault="00453A06" w:rsidP="00453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 szakképzésben lezajlott átalakítás utólagos hatásvizsgálatából adódó kormányrendelet-módosításokról </w:t>
      </w:r>
      <w:r w:rsidR="0077392D"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szóló </w:t>
      </w: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292/2023. (VII. 6.) Korm. rendelet [MK 2023/101.]</w:t>
      </w:r>
    </w:p>
    <w:p w14:paraId="734269B8" w14:textId="6723CD0F" w:rsidR="00650700" w:rsidRPr="00E049F1" w:rsidRDefault="00650700" w:rsidP="006507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E049F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u-HU"/>
          <w14:ligatures w14:val="none"/>
        </w:rPr>
        <w:t>a szakképzésről szóló törvény végrehajtásáról szóló 12/2020. (II. 7.) Korm. rendelet módosításáról szóló 129/2024. (VI. 17.) Korm. rendelet [MK 2024/65.]</w:t>
      </w:r>
    </w:p>
    <w:sectPr w:rsidR="00650700" w:rsidRPr="00E0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5B41" w14:textId="77777777" w:rsidR="00CC2337" w:rsidRDefault="00CC2337" w:rsidP="00A559DE">
      <w:pPr>
        <w:spacing w:after="0" w:line="240" w:lineRule="auto"/>
      </w:pPr>
      <w:r>
        <w:separator/>
      </w:r>
    </w:p>
  </w:endnote>
  <w:endnote w:type="continuationSeparator" w:id="0">
    <w:p w14:paraId="7E2DC713" w14:textId="77777777" w:rsidR="00CC2337" w:rsidRDefault="00CC2337" w:rsidP="00A559DE">
      <w:pPr>
        <w:spacing w:after="0" w:line="240" w:lineRule="auto"/>
      </w:pPr>
      <w:r>
        <w:continuationSeparator/>
      </w:r>
    </w:p>
  </w:endnote>
  <w:endnote w:type="continuationNotice" w:id="1">
    <w:p w14:paraId="1F2A4579" w14:textId="77777777" w:rsidR="00CC2337" w:rsidRDefault="00CC2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9069" w14:textId="77777777" w:rsidR="00CC2337" w:rsidRDefault="00CC2337" w:rsidP="00A559DE">
      <w:pPr>
        <w:spacing w:after="0" w:line="240" w:lineRule="auto"/>
      </w:pPr>
      <w:r>
        <w:separator/>
      </w:r>
    </w:p>
  </w:footnote>
  <w:footnote w:type="continuationSeparator" w:id="0">
    <w:p w14:paraId="13EF755A" w14:textId="77777777" w:rsidR="00CC2337" w:rsidRDefault="00CC2337" w:rsidP="00A559DE">
      <w:pPr>
        <w:spacing w:after="0" w:line="240" w:lineRule="auto"/>
      </w:pPr>
      <w:r>
        <w:continuationSeparator/>
      </w:r>
    </w:p>
  </w:footnote>
  <w:footnote w:type="continuationNotice" w:id="1">
    <w:p w14:paraId="154DF1CD" w14:textId="77777777" w:rsidR="00CC2337" w:rsidRDefault="00CC23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7942"/>
    <w:multiLevelType w:val="multilevel"/>
    <w:tmpl w:val="7054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31667"/>
    <w:multiLevelType w:val="multilevel"/>
    <w:tmpl w:val="2DE2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530871">
    <w:abstractNumId w:val="1"/>
  </w:num>
  <w:num w:numId="2" w16cid:durableId="106995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A06"/>
    <w:rsid w:val="00123504"/>
    <w:rsid w:val="001275E7"/>
    <w:rsid w:val="001D4E95"/>
    <w:rsid w:val="001F156D"/>
    <w:rsid w:val="00316DFC"/>
    <w:rsid w:val="003A61F7"/>
    <w:rsid w:val="003F310E"/>
    <w:rsid w:val="00427B38"/>
    <w:rsid w:val="00453A06"/>
    <w:rsid w:val="00507893"/>
    <w:rsid w:val="00540653"/>
    <w:rsid w:val="00552789"/>
    <w:rsid w:val="00560510"/>
    <w:rsid w:val="005625E5"/>
    <w:rsid w:val="005C5787"/>
    <w:rsid w:val="00603EF2"/>
    <w:rsid w:val="006110BF"/>
    <w:rsid w:val="00612D53"/>
    <w:rsid w:val="00650700"/>
    <w:rsid w:val="00681433"/>
    <w:rsid w:val="006C51CC"/>
    <w:rsid w:val="00705322"/>
    <w:rsid w:val="0077392D"/>
    <w:rsid w:val="007D5903"/>
    <w:rsid w:val="007E6A87"/>
    <w:rsid w:val="008463AE"/>
    <w:rsid w:val="00871608"/>
    <w:rsid w:val="008E241B"/>
    <w:rsid w:val="00A15B70"/>
    <w:rsid w:val="00A559DE"/>
    <w:rsid w:val="00AB001C"/>
    <w:rsid w:val="00AB0EFB"/>
    <w:rsid w:val="00B033F8"/>
    <w:rsid w:val="00B5468C"/>
    <w:rsid w:val="00BC492E"/>
    <w:rsid w:val="00BD2D2A"/>
    <w:rsid w:val="00BE4253"/>
    <w:rsid w:val="00BF6379"/>
    <w:rsid w:val="00C00A7D"/>
    <w:rsid w:val="00C241E2"/>
    <w:rsid w:val="00CC1CC9"/>
    <w:rsid w:val="00CC2337"/>
    <w:rsid w:val="00CC4ABD"/>
    <w:rsid w:val="00CC65E7"/>
    <w:rsid w:val="00D20081"/>
    <w:rsid w:val="00D22C06"/>
    <w:rsid w:val="00D60240"/>
    <w:rsid w:val="00D64DC1"/>
    <w:rsid w:val="00D8331E"/>
    <w:rsid w:val="00DD4B15"/>
    <w:rsid w:val="00E049F1"/>
    <w:rsid w:val="00E261A9"/>
    <w:rsid w:val="00F00C14"/>
    <w:rsid w:val="00F52633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A7EC"/>
  <w15:docId w15:val="{B0EA5CFB-0748-4174-AD4D-879C4D72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6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0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0A7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5070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05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5322"/>
  </w:style>
  <w:style w:type="paragraph" w:styleId="llb">
    <w:name w:val="footer"/>
    <w:basedOn w:val="Norml"/>
    <w:link w:val="llbChar"/>
    <w:uiPriority w:val="99"/>
    <w:unhideWhenUsed/>
    <w:rsid w:val="00705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322"/>
  </w:style>
  <w:style w:type="paragraph" w:styleId="Vltozat">
    <w:name w:val="Revision"/>
    <w:hidden/>
    <w:uiPriority w:val="99"/>
    <w:semiHidden/>
    <w:rsid w:val="00AB0EF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E26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9287-742E-49D6-A8E5-0258F401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1661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Czipóth Mária</cp:lastModifiedBy>
  <cp:revision>11</cp:revision>
  <dcterms:created xsi:type="dcterms:W3CDTF">2025-03-05T20:32:00Z</dcterms:created>
  <dcterms:modified xsi:type="dcterms:W3CDTF">2026-03-04T08:39:00Z</dcterms:modified>
</cp:coreProperties>
</file>